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80" w:line="740" w:lineRule="exact"/>
        <w:ind w:firstLine="0"/>
        <w:jc w:val="left"/>
      </w:pPr>
      <w:bookmarkStart w:id="0" w:name="_GoBack"/>
      <w:bookmarkEnd w:id="0"/>
      <w:r>
        <w:rPr>
          <w:rFonts w:hint="eastAsia" w:ascii="宋体" w:hAnsi="宋体" w:eastAsia="宋体"/>
          <w:color w:val="000000"/>
          <w:sz w:val="42"/>
          <w:u w:val="single"/>
        </w:rPr>
        <w:t>蓝桥杯全国软件和信息技术专业人才大赛组委会</w:t>
      </w:r>
    </w:p>
    <w:p>
      <w:pPr>
        <w:spacing w:after="80" w:line="480" w:lineRule="exact"/>
        <w:ind w:firstLine="420"/>
        <w:jc w:val="left"/>
      </w:pPr>
      <w:r>
        <w:rPr>
          <w:rFonts w:hint="eastAsia" w:ascii="宋体" w:hAnsi="宋体" w:eastAsia="宋体"/>
          <w:color w:val="000000"/>
          <w:sz w:val="28"/>
        </w:rPr>
        <w:t>第十四届蓝桥杯全国软件和信息技术专业人才大赛个人赛</w:t>
      </w:r>
    </w:p>
    <w:p>
      <w:pPr>
        <w:spacing w:after="80" w:line="480" w:lineRule="exact"/>
        <w:jc w:val="center"/>
      </w:pPr>
      <w:r>
        <w:rPr>
          <w:rFonts w:hint="eastAsia" w:ascii="宋体" w:hAnsi="宋体" w:eastAsia="宋体"/>
          <w:color w:val="000000"/>
          <w:sz w:val="28"/>
        </w:rPr>
        <w:t>（电子类）EDA设计与开发科目竞赛规则</w:t>
      </w:r>
    </w:p>
    <w:p>
      <w:pPr>
        <w:spacing w:line="460" w:lineRule="exact"/>
        <w:ind w:firstLine="0"/>
        <w:jc w:val="left"/>
      </w:pPr>
      <w:r>
        <w:rPr>
          <w:rFonts w:hint="eastAsia" w:ascii="宋体" w:hAnsi="宋体" w:eastAsia="宋体"/>
          <w:color w:val="000000"/>
          <w:sz w:val="26"/>
        </w:rPr>
        <w:t>1．参赛资格</w:t>
      </w:r>
    </w:p>
    <w:p>
      <w:pPr>
        <w:spacing w:after="140" w:line="340" w:lineRule="exact"/>
        <w:ind w:firstLine="420"/>
        <w:jc w:val="left"/>
      </w:pPr>
      <w:r>
        <w:rPr>
          <w:rFonts w:hint="eastAsia" w:ascii="宋体" w:hAnsi="宋体" w:eastAsia="宋体"/>
          <w:color w:val="000000"/>
          <w:sz w:val="20"/>
        </w:rPr>
        <w:t>具有正式全日制学籍的研究生、本科及高职高专学生（以报名时状态为准）。</w:t>
      </w:r>
    </w:p>
    <w:p>
      <w:pPr>
        <w:spacing w:after="80" w:line="460" w:lineRule="exact"/>
        <w:ind w:firstLine="0"/>
        <w:jc w:val="left"/>
      </w:pPr>
      <w:r>
        <w:rPr>
          <w:rFonts w:hint="eastAsia" w:ascii="宋体" w:hAnsi="宋体" w:eastAsia="宋体"/>
          <w:color w:val="000000"/>
          <w:sz w:val="26"/>
        </w:rPr>
        <w:t>2．竞赛用时</w:t>
      </w:r>
    </w:p>
    <w:p>
      <w:pPr>
        <w:spacing w:after="80" w:line="340" w:lineRule="exact"/>
        <w:ind w:firstLine="420"/>
        <w:jc w:val="left"/>
      </w:pPr>
      <w:r>
        <w:rPr>
          <w:rFonts w:hint="eastAsia" w:ascii="宋体" w:hAnsi="宋体" w:eastAsia="宋体"/>
          <w:color w:val="000000"/>
          <w:sz w:val="20"/>
        </w:rPr>
        <w:t>预赛时长：5小时</w:t>
      </w:r>
    </w:p>
    <w:p>
      <w:pPr>
        <w:spacing w:after="80" w:line="340" w:lineRule="exact"/>
        <w:ind w:firstLine="420"/>
        <w:jc w:val="left"/>
      </w:pPr>
      <w:r>
        <w:rPr>
          <w:rFonts w:hint="eastAsia" w:ascii="宋体" w:hAnsi="宋体" w:eastAsia="宋体"/>
          <w:color w:val="000000"/>
          <w:sz w:val="20"/>
        </w:rPr>
        <w:t>决赛时长：5小时</w:t>
      </w:r>
    </w:p>
    <w:p>
      <w:pPr>
        <w:spacing w:after="80" w:line="340" w:lineRule="exact"/>
        <w:ind w:firstLine="420"/>
        <w:jc w:val="left"/>
      </w:pPr>
      <w:r>
        <w:rPr>
          <w:rFonts w:hint="eastAsia" w:ascii="宋体" w:hAnsi="宋体" w:eastAsia="宋体"/>
          <w:color w:val="000000"/>
          <w:sz w:val="20"/>
        </w:rPr>
        <w:t>详细赛程安排以组委会发布信息为准。</w:t>
      </w:r>
    </w:p>
    <w:p>
      <w:pPr>
        <w:spacing w:after="80" w:line="460" w:lineRule="exact"/>
        <w:ind w:firstLine="0"/>
        <w:jc w:val="left"/>
      </w:pPr>
      <w:r>
        <w:rPr>
          <w:rFonts w:hint="eastAsia" w:ascii="宋体" w:hAnsi="宋体" w:eastAsia="宋体"/>
          <w:color w:val="000000"/>
          <w:sz w:val="26"/>
        </w:rPr>
        <w:t>3．竞赛形式</w:t>
      </w:r>
    </w:p>
    <w:p>
      <w:pPr>
        <w:spacing w:after="80" w:line="340" w:lineRule="exact"/>
        <w:ind w:firstLine="420"/>
        <w:jc w:val="left"/>
      </w:pPr>
      <w:r>
        <w:rPr>
          <w:rFonts w:hint="eastAsia" w:ascii="宋体" w:hAnsi="宋体" w:eastAsia="宋体"/>
          <w:color w:val="000000"/>
          <w:sz w:val="20"/>
        </w:rPr>
        <w:t>原则上采用线下比赛的方式，如因疫情等原因无法线下比赛的选手将采取线上比赛的方</w:t>
      </w:r>
    </w:p>
    <w:p>
      <w:pPr>
        <w:spacing w:after="80" w:line="340" w:lineRule="exact"/>
        <w:ind w:firstLine="0"/>
        <w:jc w:val="left"/>
      </w:pPr>
      <w:r>
        <w:rPr>
          <w:rFonts w:hint="eastAsia" w:ascii="宋体" w:hAnsi="宋体" w:eastAsia="宋体"/>
          <w:color w:val="000000"/>
          <w:sz w:val="20"/>
        </w:rPr>
        <w:t>式。</w:t>
      </w:r>
    </w:p>
    <w:p>
      <w:pPr>
        <w:spacing w:after="80" w:line="340" w:lineRule="exact"/>
        <w:ind w:firstLine="0"/>
        <w:jc w:val="left"/>
      </w:pPr>
      <w:r>
        <w:rPr>
          <w:rFonts w:hint="eastAsia" w:ascii="宋体" w:hAnsi="宋体" w:eastAsia="宋体"/>
          <w:color w:val="000000"/>
          <w:sz w:val="20"/>
        </w:rPr>
        <w:t>3.1 线下比赛：</w:t>
      </w:r>
    </w:p>
    <w:p>
      <w:pPr>
        <w:spacing w:after="80" w:line="340" w:lineRule="exact"/>
        <w:ind w:firstLine="420"/>
        <w:jc w:val="left"/>
      </w:pPr>
      <w:r>
        <w:rPr>
          <w:rFonts w:hint="eastAsia" w:ascii="宋体" w:hAnsi="宋体" w:eastAsia="宋体"/>
          <w:color w:val="000000"/>
          <w:sz w:val="20"/>
        </w:rPr>
        <w:t>个人赛，省赛、决赛均采用封闭、限时方式进行。</w:t>
      </w:r>
    </w:p>
    <w:p>
      <w:pPr>
        <w:spacing w:after="80" w:line="340" w:lineRule="exact"/>
        <w:ind w:firstLine="420"/>
        <w:jc w:val="left"/>
      </w:pPr>
      <w:r>
        <w:rPr>
          <w:rFonts w:hint="eastAsia" w:ascii="宋体" w:hAnsi="宋体" w:eastAsia="宋体"/>
          <w:color w:val="000000"/>
          <w:sz w:val="20"/>
        </w:rPr>
        <w:t>选手机器通过局域网连接到各个赛场的竞赛服务器。</w:t>
      </w:r>
    </w:p>
    <w:p>
      <w:pPr>
        <w:spacing w:after="80" w:line="340" w:lineRule="exact"/>
        <w:ind w:firstLine="420"/>
        <w:jc w:val="left"/>
      </w:pPr>
      <w:r>
        <w:rPr>
          <w:rFonts w:hint="eastAsia" w:ascii="宋体" w:hAnsi="宋体" w:eastAsia="宋体"/>
          <w:color w:val="000000"/>
          <w:sz w:val="20"/>
        </w:rPr>
        <w:t>选手答题过程中无法访问互联网，也不允许使用本机以外的资源（如USB连接）。</w:t>
      </w:r>
    </w:p>
    <w:p>
      <w:pPr>
        <w:spacing w:after="80" w:line="340" w:lineRule="exact"/>
        <w:ind w:firstLine="420"/>
        <w:jc w:val="left"/>
      </w:pPr>
      <w:r>
        <w:rPr>
          <w:rFonts w:hint="eastAsia" w:ascii="宋体" w:hAnsi="宋体" w:eastAsia="宋体"/>
          <w:color w:val="000000"/>
          <w:sz w:val="20"/>
        </w:rPr>
        <w:t>选手将答案提交到比赛系统中，超过比赛时间将无法提交。</w:t>
      </w:r>
    </w:p>
    <w:p>
      <w:pPr>
        <w:spacing w:after="80" w:line="340" w:lineRule="exact"/>
        <w:ind w:firstLine="420"/>
        <w:jc w:val="left"/>
      </w:pPr>
      <w:r>
        <w:rPr>
          <w:rFonts w:hint="eastAsia" w:ascii="宋体" w:hAnsi="宋体" w:eastAsia="宋体"/>
          <w:color w:val="000000"/>
          <w:sz w:val="20"/>
        </w:rPr>
        <w:t>竞赛系统以“服务器-浏览器”方式发放试题、回收选手答案。</w:t>
      </w:r>
    </w:p>
    <w:p>
      <w:pPr>
        <w:spacing w:after="80" w:line="340" w:lineRule="exact"/>
        <w:ind w:firstLine="0"/>
        <w:jc w:val="left"/>
      </w:pPr>
      <w:r>
        <w:rPr>
          <w:rFonts w:hint="eastAsia" w:ascii="宋体" w:hAnsi="宋体" w:eastAsia="宋体"/>
          <w:color w:val="000000"/>
          <w:sz w:val="20"/>
        </w:rPr>
        <w:t>3.2 线上比赛：</w:t>
      </w:r>
    </w:p>
    <w:p>
      <w:pPr>
        <w:spacing w:after="80" w:line="340" w:lineRule="exact"/>
        <w:ind w:firstLine="420"/>
        <w:jc w:val="left"/>
      </w:pPr>
      <w:r>
        <w:rPr>
          <w:rFonts w:hint="eastAsia" w:ascii="宋体" w:hAnsi="宋体" w:eastAsia="宋体"/>
          <w:color w:val="000000"/>
          <w:sz w:val="20"/>
        </w:rPr>
        <w:t>个人赛，自备机器和自行安装比赛环境。</w:t>
      </w:r>
    </w:p>
    <w:p>
      <w:pPr>
        <w:spacing w:after="80" w:line="340" w:lineRule="exact"/>
        <w:ind w:firstLine="420"/>
        <w:jc w:val="left"/>
      </w:pPr>
      <w:r>
        <w:rPr>
          <w:rFonts w:hint="eastAsia" w:ascii="宋体" w:hAnsi="宋体" w:eastAsia="宋体"/>
          <w:color w:val="000000"/>
          <w:sz w:val="20"/>
        </w:rPr>
        <w:t>选手通过电脑浏览器输入准考证上的线上比赛网址登录并比赛。</w:t>
      </w:r>
    </w:p>
    <w:p>
      <w:pPr>
        <w:spacing w:after="80" w:line="340" w:lineRule="exact"/>
        <w:ind w:firstLine="420"/>
        <w:jc w:val="left"/>
      </w:pPr>
      <w:r>
        <w:rPr>
          <w:rFonts w:hint="eastAsia" w:ascii="宋体" w:hAnsi="宋体" w:eastAsia="宋体"/>
          <w:color w:val="000000"/>
          <w:sz w:val="20"/>
        </w:rPr>
        <w:t>选手将答案提交到比赛系统中，超过比赛时间将无法提交。</w:t>
      </w:r>
    </w:p>
    <w:p>
      <w:pPr>
        <w:spacing w:after="80" w:line="340" w:lineRule="exact"/>
        <w:ind w:firstLine="420"/>
        <w:jc w:val="left"/>
      </w:pPr>
      <w:r>
        <w:rPr>
          <w:rFonts w:hint="eastAsia" w:ascii="宋体" w:hAnsi="宋体" w:eastAsia="宋体"/>
          <w:color w:val="000000"/>
          <w:sz w:val="20"/>
        </w:rPr>
        <w:t>选手须按照线上比赛手册要求准备相关软件、硬件和网络，并保证遵守线上比赛手册上</w:t>
      </w:r>
    </w:p>
    <w:p>
      <w:pPr>
        <w:spacing w:after="80" w:line="340" w:lineRule="exact"/>
        <w:ind w:firstLine="0"/>
        <w:jc w:val="left"/>
      </w:pPr>
      <w:r>
        <w:rPr>
          <w:rFonts w:hint="eastAsia" w:ascii="宋体" w:hAnsi="宋体" w:eastAsia="宋体"/>
          <w:color w:val="000000"/>
          <w:sz w:val="20"/>
        </w:rPr>
        <w:t>的要求进行比赛，不得违规作弊。</w:t>
      </w:r>
    </w:p>
    <w:p>
      <w:pPr>
        <w:spacing w:line="340" w:lineRule="exact"/>
        <w:ind w:firstLine="420"/>
        <w:jc w:val="left"/>
      </w:pPr>
      <w:r>
        <w:rPr>
          <w:rFonts w:hint="eastAsia" w:ascii="宋体" w:hAnsi="宋体" w:eastAsia="宋体"/>
          <w:color w:val="000000"/>
          <w:sz w:val="20"/>
        </w:rPr>
        <w:t>线上比赛手册计划于2023年3月在大赛官网发布。</w:t>
      </w:r>
    </w:p>
    <w:p>
      <w:pPr>
        <w:spacing w:after="80" w:line="340" w:lineRule="exact"/>
        <w:ind w:firstLine="420"/>
        <w:jc w:val="left"/>
      </w:pPr>
      <w:r>
        <w:rPr>
          <w:rFonts w:hint="eastAsia" w:ascii="宋体" w:hAnsi="宋体" w:eastAsia="宋体"/>
          <w:color w:val="000000"/>
          <w:sz w:val="20"/>
        </w:rPr>
        <w:t>选手提交到服务器的工程文件是评审和成绩复查的依据，须严格按照试题要求上传。</w:t>
      </w:r>
    </w:p>
    <w:p>
      <w:pPr>
        <w:spacing w:line="340" w:lineRule="exact"/>
        <w:jc w:val="center"/>
        <w:sectPr>
          <w:type w:val="continuous"/>
          <w:pgSz w:w="11900" w:h="16840"/>
          <w:pgMar w:top="1220" w:right="1680" w:bottom="1220" w:left="1680" w:header="0" w:footer="1220" w:gutter="0"/>
          <w:cols w:space="720" w:num="1"/>
          <w:titlePg/>
          <w:docGrid w:type="lines" w:linePitch="312" w:charSpace="0"/>
        </w:sectPr>
      </w:pPr>
      <w:r>
        <w:rPr>
          <w:rFonts w:hint="eastAsia" w:ascii="宋体" w:hAnsi="宋体" w:eastAsia="宋体"/>
          <w:color w:val="000000"/>
          <w:sz w:val="20"/>
        </w:rPr>
        <w:t>1/3</w:t>
      </w:r>
    </w:p>
    <w:p>
      <w:pPr>
        <w:spacing w:after="100" w:line="420" w:lineRule="exact"/>
        <w:ind w:firstLine="0"/>
        <w:jc w:val="left"/>
      </w:pPr>
      <w:r>
        <w:rPr>
          <w:rFonts w:hint="eastAsia" w:ascii="宋体" w:hAnsi="宋体" w:eastAsia="宋体"/>
          <w:color w:val="000000"/>
          <w:sz w:val="26"/>
        </w:rPr>
        <w:t>4．试题形式</w:t>
      </w:r>
    </w:p>
    <w:p>
      <w:pPr>
        <w:spacing w:after="100" w:line="320" w:lineRule="exact"/>
        <w:ind w:firstLine="440"/>
        <w:jc w:val="left"/>
      </w:pPr>
      <w:r>
        <w:rPr>
          <w:rFonts w:hint="eastAsia" w:ascii="宋体" w:hAnsi="宋体" w:eastAsia="宋体"/>
          <w:color w:val="000000"/>
          <w:sz w:val="20"/>
        </w:rPr>
        <w:t>竞赛试题由客观题和设计试题两部分组成，具体题型及题目数量以正式比赛时赛题为准。</w:t>
      </w:r>
    </w:p>
    <w:p>
      <w:pPr>
        <w:spacing w:after="100" w:line="320" w:lineRule="exact"/>
        <w:ind w:firstLine="0"/>
        <w:jc w:val="left"/>
      </w:pPr>
      <w:r>
        <w:rPr>
          <w:rFonts w:hint="eastAsia" w:ascii="宋体" w:hAnsi="宋体" w:eastAsia="宋体"/>
          <w:color w:val="000000"/>
          <w:sz w:val="20"/>
        </w:rPr>
        <w:t>4.1 客观题</w:t>
      </w:r>
    </w:p>
    <w:p>
      <w:pPr>
        <w:spacing w:after="100" w:line="320" w:lineRule="exact"/>
        <w:ind w:firstLine="440"/>
        <w:jc w:val="left"/>
      </w:pPr>
      <w:r>
        <w:rPr>
          <w:rFonts w:hint="eastAsia" w:ascii="宋体" w:hAnsi="宋体" w:eastAsia="宋体"/>
          <w:color w:val="000000"/>
          <w:sz w:val="18"/>
        </w:rPr>
        <w:t>选择题</w:t>
      </w:r>
    </w:p>
    <w:p>
      <w:pPr>
        <w:spacing w:after="100" w:line="320" w:lineRule="exact"/>
        <w:ind w:firstLine="800"/>
        <w:jc w:val="left"/>
      </w:pPr>
      <w:r>
        <w:rPr>
          <w:rFonts w:hint="eastAsia" w:ascii="宋体" w:hAnsi="宋体" w:eastAsia="宋体"/>
          <w:color w:val="000000"/>
          <w:sz w:val="20"/>
        </w:rPr>
        <w:t>选手根据题目描述，选择若干个答案。</w:t>
      </w:r>
    </w:p>
    <w:p>
      <w:pPr>
        <w:spacing w:after="100" w:line="320" w:lineRule="exact"/>
        <w:ind w:firstLine="440"/>
        <w:jc w:val="left"/>
      </w:pPr>
      <w:r>
        <w:rPr>
          <w:rFonts w:hint="eastAsia" w:ascii="宋体" w:hAnsi="宋体" w:eastAsia="宋体"/>
          <w:color w:val="000000"/>
          <w:sz w:val="20"/>
        </w:rPr>
        <w:t>填空题</w:t>
      </w:r>
    </w:p>
    <w:p>
      <w:pPr>
        <w:spacing w:after="100" w:line="320" w:lineRule="exact"/>
        <w:ind w:firstLine="800"/>
        <w:jc w:val="left"/>
      </w:pPr>
      <w:r>
        <w:rPr>
          <w:rFonts w:hint="eastAsia" w:ascii="宋体" w:hAnsi="宋体" w:eastAsia="宋体"/>
          <w:color w:val="000000"/>
          <w:sz w:val="20"/>
        </w:rPr>
        <w:t>题目描述一个具有确定解的问题，选手根据题目要求填写唯一答案。</w:t>
      </w:r>
    </w:p>
    <w:p>
      <w:pPr>
        <w:spacing w:line="380" w:lineRule="exact"/>
        <w:ind w:firstLine="0"/>
        <w:jc w:val="left"/>
      </w:pPr>
      <w:r>
        <w:rPr>
          <w:rFonts w:hint="eastAsia" w:ascii="宋体" w:hAnsi="宋体" w:eastAsia="宋体"/>
          <w:color w:val="000000"/>
          <w:sz w:val="26"/>
        </w:rPr>
        <w:t>4.2 设计试题</w:t>
      </w:r>
    </w:p>
    <w:p>
      <w:pPr>
        <w:spacing w:after="100" w:line="440" w:lineRule="exact"/>
        <w:ind w:firstLine="440"/>
        <w:jc w:val="both"/>
      </w:pPr>
      <w:r>
        <w:rPr>
          <w:rFonts w:hint="eastAsia" w:ascii="宋体" w:hAnsi="宋体" w:eastAsia="宋体"/>
          <w:color w:val="000000"/>
          <w:sz w:val="20"/>
        </w:rPr>
        <w:t>试题包含元件符号和封装的设计、原理图设计、PCB设计和工程生产文件输出，选手需要使用嘉立创EDA（专业版）设计软件和大赛组委会提供的试题数据包，根据试题的要求新建、设计和输出各类文件。</w:t>
      </w:r>
    </w:p>
    <w:p>
      <w:pPr>
        <w:spacing w:after="100" w:line="380" w:lineRule="exact"/>
        <w:ind w:firstLine="0"/>
        <w:jc w:val="left"/>
      </w:pPr>
      <w:r>
        <w:rPr>
          <w:rFonts w:hint="eastAsia" w:ascii="宋体" w:hAnsi="宋体" w:eastAsia="宋体"/>
          <w:color w:val="000000"/>
          <w:sz w:val="26"/>
        </w:rPr>
        <w:t>5．赛场设备设施</w:t>
      </w:r>
    </w:p>
    <w:p>
      <w:pPr>
        <w:spacing w:after="100" w:line="320" w:lineRule="exact"/>
        <w:ind w:firstLine="440"/>
        <w:jc w:val="left"/>
      </w:pPr>
      <w:r>
        <w:rPr>
          <w:rFonts w:hint="eastAsia" w:ascii="宋体" w:hAnsi="宋体" w:eastAsia="宋体"/>
          <w:color w:val="000000"/>
          <w:sz w:val="20"/>
        </w:rPr>
        <w:t>学生机机器配置：</w:t>
      </w:r>
    </w:p>
    <w:p>
      <w:pPr>
        <w:spacing w:after="100" w:line="320" w:lineRule="exact"/>
        <w:ind w:firstLine="440"/>
        <w:jc w:val="left"/>
      </w:pPr>
      <w:r>
        <w:rPr>
          <w:rFonts w:hint="eastAsia" w:ascii="宋体" w:hAnsi="宋体" w:eastAsia="宋体"/>
          <w:color w:val="000000"/>
          <w:sz w:val="20"/>
        </w:rPr>
        <w:t>X86 兼容机器，内存不小于4G，硬盘不小于80G</w:t>
      </w:r>
    </w:p>
    <w:p>
      <w:pPr>
        <w:spacing w:after="100" w:line="320" w:lineRule="exact"/>
        <w:ind w:firstLine="440"/>
        <w:jc w:val="left"/>
      </w:pPr>
      <w:r>
        <w:rPr>
          <w:rFonts w:hint="eastAsia" w:ascii="宋体" w:hAnsi="宋体" w:eastAsia="宋体"/>
          <w:color w:val="000000"/>
          <w:sz w:val="20"/>
        </w:rPr>
        <w:t>操作系统：Windows7、8、10或11</w:t>
      </w:r>
    </w:p>
    <w:p>
      <w:pPr>
        <w:spacing w:after="100" w:line="320" w:lineRule="exact"/>
        <w:ind w:firstLine="440"/>
        <w:jc w:val="left"/>
      </w:pPr>
      <w:r>
        <w:rPr>
          <w:rFonts w:hint="eastAsia" w:ascii="宋体" w:hAnsi="宋体" w:eastAsia="宋体"/>
          <w:color w:val="000000"/>
          <w:sz w:val="20"/>
        </w:rPr>
        <w:t>学生机软件预装：</w:t>
      </w:r>
    </w:p>
    <w:p>
      <w:pPr>
        <w:spacing w:after="100" w:line="320" w:lineRule="exact"/>
        <w:ind w:firstLine="440"/>
        <w:jc w:val="left"/>
      </w:pPr>
      <w:r>
        <w:rPr>
          <w:rFonts w:hint="eastAsia" w:ascii="宋体" w:hAnsi="宋体" w:eastAsia="宋体"/>
          <w:color w:val="000000"/>
          <w:sz w:val="20"/>
        </w:rPr>
        <w:t>嘉立创EDA（专业版）客户端</w:t>
      </w:r>
    </w:p>
    <w:p>
      <w:pPr>
        <w:spacing w:after="100" w:line="320" w:lineRule="exact"/>
        <w:ind w:firstLine="440"/>
        <w:jc w:val="left"/>
      </w:pPr>
      <w:r>
        <w:rPr>
          <w:rFonts w:hint="eastAsia" w:ascii="宋体" w:hAnsi="宋体" w:eastAsia="宋体"/>
          <w:color w:val="000000"/>
          <w:sz w:val="18"/>
        </w:rPr>
        <w:t>PDF阅读器</w:t>
      </w:r>
    </w:p>
    <w:p>
      <w:pPr>
        <w:spacing w:after="100" w:line="320" w:lineRule="exact"/>
        <w:ind w:firstLine="440"/>
        <w:jc w:val="left"/>
      </w:pPr>
      <w:r>
        <w:rPr>
          <w:rFonts w:hint="eastAsia" w:ascii="宋体" w:hAnsi="宋体" w:eastAsia="宋体"/>
          <w:color w:val="000000"/>
          <w:sz w:val="20"/>
        </w:rPr>
        <w:t>Office 办公套件</w:t>
      </w:r>
    </w:p>
    <w:p>
      <w:pPr>
        <w:spacing w:after="100" w:line="320" w:lineRule="exact"/>
        <w:ind w:firstLine="440"/>
        <w:jc w:val="left"/>
      </w:pPr>
      <w:r>
        <w:rPr>
          <w:rFonts w:hint="eastAsia" w:ascii="宋体" w:hAnsi="宋体" w:eastAsia="宋体"/>
          <w:color w:val="000000"/>
          <w:sz w:val="20"/>
        </w:rPr>
        <w:t>解压缩软件</w:t>
      </w:r>
    </w:p>
    <w:p>
      <w:pPr>
        <w:spacing w:after="100" w:line="380" w:lineRule="exact"/>
        <w:ind w:firstLine="0"/>
        <w:jc w:val="left"/>
      </w:pPr>
      <w:r>
        <w:rPr>
          <w:rFonts w:hint="eastAsia" w:ascii="宋体" w:hAnsi="宋体" w:eastAsia="宋体"/>
          <w:color w:val="000000"/>
          <w:sz w:val="26"/>
        </w:rPr>
        <w:t>6．试题涉及的基础知识</w:t>
      </w:r>
    </w:p>
    <w:p>
      <w:pPr>
        <w:spacing w:after="100" w:line="320" w:lineRule="exact"/>
        <w:ind w:firstLine="440"/>
        <w:jc w:val="both"/>
      </w:pPr>
      <w:r>
        <w:rPr>
          <w:rFonts w:hint="eastAsia" w:ascii="宋体" w:hAnsi="宋体" w:eastAsia="宋体"/>
          <w:color w:val="000000"/>
          <w:sz w:val="20"/>
        </w:rPr>
        <w:t>竞赛侧重考查选手对电子电路基础知识的灵活运用能力和使用软件设计电子电路原理图与印制线路板的能力。主要考查范围如下：</w:t>
      </w:r>
    </w:p>
    <w:p>
      <w:pPr>
        <w:spacing w:after="100" w:line="320" w:lineRule="exact"/>
        <w:ind w:firstLine="440"/>
        <w:jc w:val="left"/>
      </w:pPr>
      <w:r>
        <w:rPr>
          <w:rFonts w:hint="eastAsia" w:ascii="宋体" w:hAnsi="宋体" w:eastAsia="宋体"/>
          <w:color w:val="000000"/>
          <w:sz w:val="20"/>
        </w:rPr>
        <w:t>1）数字、模拟电路基础知识</w:t>
      </w:r>
    </w:p>
    <w:p>
      <w:pPr>
        <w:spacing w:after="100" w:line="320" w:lineRule="exact"/>
        <w:ind w:firstLine="440"/>
        <w:jc w:val="left"/>
      </w:pPr>
      <w:r>
        <w:rPr>
          <w:rFonts w:hint="eastAsia" w:ascii="宋体" w:hAnsi="宋体" w:eastAsia="宋体"/>
          <w:color w:val="000000"/>
          <w:sz w:val="20"/>
        </w:rPr>
        <w:t>2）电子元器件参数与选型</w:t>
      </w:r>
    </w:p>
    <w:p>
      <w:pPr>
        <w:spacing w:after="100" w:line="320" w:lineRule="exact"/>
        <w:ind w:firstLine="440"/>
        <w:jc w:val="left"/>
      </w:pPr>
      <w:r>
        <w:rPr>
          <w:rFonts w:hint="eastAsia" w:ascii="宋体" w:hAnsi="宋体" w:eastAsia="宋体"/>
          <w:color w:val="000000"/>
          <w:sz w:val="20"/>
        </w:rPr>
        <w:t>3）原理图识图</w:t>
      </w:r>
    </w:p>
    <w:p>
      <w:pPr>
        <w:spacing w:after="100" w:line="320" w:lineRule="exact"/>
        <w:ind w:firstLine="440"/>
        <w:jc w:val="left"/>
      </w:pPr>
      <w:r>
        <w:rPr>
          <w:rFonts w:hint="eastAsia" w:ascii="宋体" w:hAnsi="宋体" w:eastAsia="宋体"/>
          <w:color w:val="000000"/>
          <w:sz w:val="20"/>
        </w:rPr>
        <w:t>4）原理图和PCB绘制</w:t>
      </w:r>
    </w:p>
    <w:p>
      <w:pPr>
        <w:spacing w:after="100" w:line="320" w:lineRule="exact"/>
        <w:ind w:firstLine="440"/>
        <w:jc w:val="left"/>
      </w:pPr>
      <w:r>
        <w:rPr>
          <w:rFonts w:hint="eastAsia" w:ascii="宋体" w:hAnsi="宋体" w:eastAsia="宋体"/>
          <w:color w:val="000000"/>
          <w:sz w:val="20"/>
        </w:rPr>
        <w:t>5）原理图设计环境参数设置</w:t>
      </w:r>
    </w:p>
    <w:p>
      <w:pPr>
        <w:spacing w:line="320" w:lineRule="exact"/>
        <w:ind w:firstLine="440"/>
        <w:jc w:val="left"/>
        <w:sectPr>
          <w:footerReference r:id="rId3" w:type="default"/>
          <w:type w:val="continuous"/>
          <w:pgSz w:w="11900" w:h="16840"/>
          <w:pgMar w:top="1440" w:right="1660" w:bottom="1440" w:left="1660" w:header="0" w:footer="1440" w:gutter="0"/>
          <w:cols w:space="720" w:num="1"/>
          <w:docGrid w:type="lines" w:linePitch="312" w:charSpace="0"/>
        </w:sectPr>
      </w:pPr>
      <w:r>
        <w:rPr>
          <w:rFonts w:hint="eastAsia" w:ascii="宋体" w:hAnsi="宋体" w:eastAsia="宋体"/>
          <w:color w:val="000000"/>
          <w:sz w:val="20"/>
        </w:rPr>
        <w:t>6)</w:t>
      </w:r>
      <w:r>
        <w:rPr>
          <w:rFonts w:hint="eastAsia" w:ascii="宋体" w:hAnsi="宋体" w:eastAsia="宋体"/>
          <w:color w:val="000000"/>
          <w:sz w:val="20"/>
        </w:rPr>
        <w:tab/>
        <w:t>PCB设计环境参数和设计规则设置</w:t>
      </w:r>
      <w:r>
        <mc:AlternateContent>
          <mc:Choice Requires="wps">
            <w:drawing>
              <wp:anchor distT="0" distB="0" distL="114300" distR="114300" simplePos="0" relativeHeight="251659264" behindDoc="0" locked="0" layoutInCell="1" allowOverlap="1">
                <wp:simplePos x="0" y="0"/>
                <wp:positionH relativeFrom="page">
                  <wp:posOffset>3568700</wp:posOffset>
                </wp:positionH>
                <wp:positionV relativeFrom="paragraph">
                  <wp:posOffset>8890000</wp:posOffset>
                </wp:positionV>
                <wp:extent cx="520700" cy="3048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pPr>
                            <w:r>
                              <w:rPr>
                                <w:rFonts w:hint="eastAsia" w:ascii="Arial" w:hAnsi="Arial" w:eastAsia="Arial"/>
                                <w:color w:val="000000"/>
                                <w:sz w:val="18"/>
                              </w:rPr>
                              <w:t>2/3</w:t>
                            </w:r>
                          </w:p>
                        </w:txbxContent>
                      </wps:txbx>
                      <wps:bodyPr lIns="25400" tIns="0" rIns="25400" bIns="0">
                        <a:noAutofit/>
                      </wps:bodyPr>
                    </wps:wsp>
                  </a:graphicData>
                </a:graphic>
              </wp:anchor>
            </w:drawing>
          </mc:Choice>
          <mc:Fallback>
            <w:pict>
              <v:shape id="文本框 2" o:spid="_x0000_s1026" o:spt="202" type="#_x0000_t202" style="position:absolute;left:0pt;margin-left:281pt;margin-top:700pt;height:24pt;width:41pt;mso-position-horizontal-relative:page;z-index:251659264;mso-width-relative:page;mso-height-relative:page;" filled="f" stroked="f" coordsize="21600,21600" o:gfxdata="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kA0K/ZAAAADQEAAA8AAAAAAAAA&#10;AQAgAAAAIgAAAGRycy9kb3ducmV2LnhtbFBLAQIUABQAAAAIAIdO4kBl/+EI1wEAAJ4DAAAOAAAA&#10;AAAAAAEAIAAAACgBAABkcnMvZTJvRG9jLnhtbFBLBQYAAAAABgAGAFkBAABxBQ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18"/>
                        </w:rPr>
                        <w:t>2/3</w:t>
                      </w:r>
                    </w:p>
                  </w:txbxContent>
                </v:textbox>
              </v:shape>
            </w:pict>
          </mc:Fallback>
        </mc:AlternateContent>
      </w:r>
    </w:p>
    <w:p/>
    <w:sectPr>
      <w:type w:val="continuous"/>
      <w:pgSz w:w="11900" w:h="16840"/>
      <w:pgMar w:top="1440" w:right="1660" w:bottom="1440" w:left="1660"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18"/>
      </w:rPr>
      <w:t>2/3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381D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931</Words>
  <Characters>980</Characters>
  <TotalTime>0</TotalTime>
  <ScaleCrop>false</ScaleCrop>
  <LinksUpToDate>false</LinksUpToDate>
  <CharactersWithSpaces>987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2022-10-24T01:30:37Z</dcterms:created>
  <dc:creator>openxml-sdk </dc:creator>
  <dc:description>openxml-sdk, CCi Textin Word Converter, JL</dc:description>
  <cp:keywords>CCi</cp:keywords>
  <cp:lastModifiedBy>微信用户</cp:lastModifiedBy>
  <dcterms:modified xsi:type="dcterms:W3CDTF">2022-10-24T01:40:12Z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F8929673C0E44F2C845B0CCE4F8C7B49</vt:lpwstr>
  </property>
</Properties>
</file>